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2C8" w:rsidRDefault="00F802C8" w:rsidP="00F802C8">
      <w:pPr>
        <w:shd w:val="clear" w:color="auto" w:fill="FFFFFF"/>
        <w:spacing w:after="100" w:afterAutospacing="1" w:line="312" w:lineRule="atLeast"/>
        <w:outlineLvl w:val="0"/>
        <w:rPr>
          <w:rFonts w:ascii="Arial" w:eastAsia="Times New Roman" w:hAnsi="Arial" w:cs="Arial"/>
          <w:b/>
          <w:bCs/>
          <w:noProof/>
          <w:color w:val="000000"/>
          <w:kern w:val="36"/>
          <w:sz w:val="41"/>
          <w:szCs w:val="41"/>
        </w:rPr>
      </w:pPr>
      <w:permStart w:id="0" w:edGrp="everyone"/>
      <w:permEnd w:id="0"/>
      <w:r w:rsidRPr="00F802C8">
        <w:rPr>
          <w:rFonts w:ascii="Arial" w:eastAsia="Times New Roman" w:hAnsi="Arial" w:cs="Arial"/>
          <w:b/>
          <w:bCs/>
          <w:noProof/>
          <w:color w:val="000000"/>
          <w:kern w:val="36"/>
          <w:sz w:val="41"/>
          <w:szCs w:val="41"/>
        </w:rPr>
        <w:t>The First Step Towards Treating Cone Photoreceptor Degeneration</w:t>
      </w:r>
      <w:r>
        <w:rPr>
          <w:rFonts w:ascii="Arial" w:eastAsia="Times New Roman" w:hAnsi="Arial" w:cs="Arial"/>
          <w:b/>
          <w:bCs/>
          <w:noProof/>
          <w:color w:val="000000"/>
          <w:kern w:val="36"/>
          <w:sz w:val="41"/>
          <w:szCs w:val="41"/>
        </w:rPr>
        <w:t>?</w:t>
      </w:r>
    </w:p>
    <w:p w:rsidR="00F802C8" w:rsidRDefault="00F802C8" w:rsidP="00F802C8">
      <w:pPr>
        <w:shd w:val="clear" w:color="auto" w:fill="FFFFFF"/>
        <w:spacing w:after="100" w:afterAutospacing="1" w:line="312" w:lineRule="atLeast"/>
        <w:outlineLvl w:val="0"/>
        <w:rPr>
          <w:rFonts w:ascii="Arial" w:hAnsi="Arial" w:cs="Arial"/>
          <w:noProof/>
          <w:color w:val="777777"/>
          <w:sz w:val="17"/>
          <w:szCs w:val="17"/>
          <w:shd w:val="clear" w:color="auto" w:fill="FFFFFF"/>
        </w:rPr>
      </w:pPr>
      <w:r>
        <w:rPr>
          <w:rFonts w:ascii="Arial" w:hAnsi="Arial" w:cs="Arial"/>
          <w:noProof/>
          <w:color w:val="777777"/>
          <w:sz w:val="17"/>
          <w:szCs w:val="17"/>
          <w:shd w:val="clear" w:color="auto" w:fill="FFFFFF"/>
        </w:rPr>
        <w:t>January 26, 2015</w:t>
      </w:r>
    </w:p>
    <w:p w:rsidR="00F802C8" w:rsidRPr="00F802C8" w:rsidRDefault="00F802C8" w:rsidP="00F802C8">
      <w:pPr>
        <w:shd w:val="clear" w:color="auto" w:fill="FFFFFF"/>
        <w:spacing w:after="360" w:line="313" w:lineRule="atLeast"/>
        <w:jc w:val="both"/>
        <w:rPr>
          <w:rFonts w:ascii="Arial" w:eastAsia="Times New Roman" w:hAnsi="Arial" w:cs="Arial"/>
          <w:noProof/>
          <w:color w:val="000000"/>
          <w:sz w:val="21"/>
          <w:szCs w:val="21"/>
        </w:rPr>
      </w:pPr>
      <w:r w:rsidRPr="00F802C8">
        <w:rPr>
          <w:rFonts w:ascii="Arial" w:eastAsia="Times New Roman" w:hAnsi="Arial" w:cs="Arial"/>
          <w:noProof/>
          <w:color w:val="000000"/>
          <w:sz w:val="20"/>
          <w:szCs w:val="20"/>
        </w:rPr>
        <w:t>Review of “</w:t>
      </w:r>
      <w:hyperlink r:id="rId5" w:history="1">
        <w:r w:rsidRPr="00F802C8">
          <w:rPr>
            <w:rFonts w:ascii="Arial" w:eastAsia="Times New Roman" w:hAnsi="Arial" w:cs="Arial"/>
            <w:noProof/>
            <w:color w:val="435080"/>
            <w:sz w:val="20"/>
            <w:u w:val="single"/>
          </w:rPr>
          <w:t>Daylight Vision Repair by Cell Transplantation</w:t>
        </w:r>
      </w:hyperlink>
      <w:r w:rsidRPr="00F802C8">
        <w:rPr>
          <w:rFonts w:ascii="Arial" w:eastAsia="Times New Roman" w:hAnsi="Arial" w:cs="Arial"/>
          <w:noProof/>
          <w:color w:val="000000"/>
          <w:sz w:val="20"/>
          <w:szCs w:val="20"/>
        </w:rPr>
        <w:t>” from</w:t>
      </w:r>
      <w:r w:rsidRPr="00F802C8">
        <w:rPr>
          <w:rFonts w:ascii="Arial" w:eastAsia="Times New Roman" w:hAnsi="Arial" w:cs="Arial"/>
          <w:noProof/>
          <w:color w:val="000000"/>
          <w:sz w:val="20"/>
        </w:rPr>
        <w:t> </w:t>
      </w:r>
      <w:r w:rsidRPr="00F802C8">
        <w:rPr>
          <w:rFonts w:ascii="Arial" w:eastAsia="Times New Roman" w:hAnsi="Arial" w:cs="Arial"/>
          <w:i/>
          <w:iCs/>
          <w:noProof/>
          <w:color w:val="000000"/>
          <w:sz w:val="20"/>
        </w:rPr>
        <w:t>Stem Cells</w:t>
      </w:r>
      <w:r w:rsidRPr="00F802C8">
        <w:rPr>
          <w:rFonts w:ascii="Arial" w:eastAsia="Times New Roman" w:hAnsi="Arial" w:cs="Arial"/>
          <w:noProof/>
          <w:color w:val="000000"/>
          <w:sz w:val="20"/>
        </w:rPr>
        <w:t> </w:t>
      </w:r>
      <w:r w:rsidRPr="00F802C8">
        <w:rPr>
          <w:rFonts w:ascii="Arial" w:eastAsia="Times New Roman" w:hAnsi="Arial" w:cs="Arial"/>
          <w:noProof/>
          <w:color w:val="000000"/>
          <w:sz w:val="20"/>
          <w:szCs w:val="20"/>
        </w:rPr>
        <w:t>by Stuart P. Atkinson</w:t>
      </w:r>
    </w:p>
    <w:p w:rsidR="00F802C8" w:rsidRPr="00F802C8" w:rsidRDefault="00F802C8" w:rsidP="00F802C8">
      <w:pPr>
        <w:shd w:val="clear" w:color="auto" w:fill="FFFFFF"/>
        <w:spacing w:after="360" w:line="313" w:lineRule="atLeast"/>
        <w:jc w:val="both"/>
        <w:rPr>
          <w:rFonts w:ascii="Arial" w:eastAsia="Times New Roman" w:hAnsi="Arial" w:cs="Arial"/>
          <w:noProof/>
          <w:color w:val="000000"/>
          <w:sz w:val="21"/>
          <w:szCs w:val="21"/>
        </w:rPr>
      </w:pPr>
      <w:r w:rsidRPr="00F802C8">
        <w:rPr>
          <w:rFonts w:ascii="Arial" w:eastAsia="Times New Roman" w:hAnsi="Arial" w:cs="Arial"/>
          <w:noProof/>
          <w:color w:val="000000"/>
          <w:sz w:val="20"/>
          <w:szCs w:val="20"/>
        </w:rPr>
        <w:t>Healthy functional cone photoreceptors mediate color vision and high visual acuity under light conditions and disorders which lead to their dysfunction currently have no restorative treatments [1, 2]. Cell based therapies are a potentially interesting strategy, although very little is known about cone photoreceptor transplantation [3]. To remedy this, the group of</w:t>
      </w:r>
      <w:r w:rsidRPr="00F802C8">
        <w:rPr>
          <w:rFonts w:ascii="Arial" w:eastAsia="Times New Roman" w:hAnsi="Arial" w:cs="Arial"/>
          <w:noProof/>
          <w:color w:val="000000"/>
          <w:sz w:val="20"/>
        </w:rPr>
        <w:t> </w:t>
      </w:r>
      <w:hyperlink r:id="rId6" w:history="1">
        <w:r w:rsidRPr="00F802C8">
          <w:rPr>
            <w:rFonts w:ascii="Arial" w:eastAsia="Times New Roman" w:hAnsi="Arial" w:cs="Arial"/>
            <w:noProof/>
            <w:color w:val="435080"/>
            <w:sz w:val="20"/>
            <w:u w:val="single"/>
          </w:rPr>
          <w:t>Marius Ader</w:t>
        </w:r>
      </w:hyperlink>
      <w:r w:rsidRPr="00F802C8">
        <w:rPr>
          <w:rFonts w:ascii="Arial" w:eastAsia="Times New Roman" w:hAnsi="Arial" w:cs="Arial"/>
          <w:noProof/>
          <w:color w:val="000000"/>
          <w:sz w:val="20"/>
        </w:rPr>
        <w:t> </w:t>
      </w:r>
      <w:r w:rsidRPr="00F802C8">
        <w:rPr>
          <w:rFonts w:ascii="Arial" w:eastAsia="Times New Roman" w:hAnsi="Arial" w:cs="Arial"/>
          <w:noProof/>
          <w:color w:val="000000"/>
          <w:sz w:val="20"/>
          <w:szCs w:val="20"/>
        </w:rPr>
        <w:t>(</w:t>
      </w:r>
      <w:hyperlink r:id="rId7" w:history="1">
        <w:r w:rsidRPr="00F802C8">
          <w:rPr>
            <w:rFonts w:ascii="Arial" w:eastAsia="Times New Roman" w:hAnsi="Arial" w:cs="Arial"/>
            <w:noProof/>
            <w:color w:val="435080"/>
            <w:sz w:val="20"/>
            <w:u w:val="single"/>
          </w:rPr>
          <w:t>CRTD/DFG-Center for Regenerative Therapies Dresden, Germany</w:t>
        </w:r>
      </w:hyperlink>
      <w:r w:rsidRPr="00F802C8">
        <w:rPr>
          <w:rFonts w:ascii="Arial" w:eastAsia="Times New Roman" w:hAnsi="Arial" w:cs="Arial"/>
          <w:noProof/>
          <w:color w:val="000000"/>
          <w:sz w:val="20"/>
          <w:szCs w:val="20"/>
        </w:rPr>
        <w:t>) have taken advantage of a mouse model in which the neural retina leucine zipper (Nrl</w:t>
      </w:r>
      <w:r w:rsidRPr="00F802C8">
        <w:rPr>
          <w:rFonts w:ascii="Cambria Math" w:eastAsia="Times New Roman" w:hAnsi="Cambria Math" w:cs="Cambria Math"/>
          <w:noProof/>
          <w:color w:val="000000"/>
          <w:sz w:val="20"/>
          <w:szCs w:val="20"/>
        </w:rPr>
        <w:t>‐</w:t>
      </w:r>
      <w:r w:rsidRPr="00F802C8">
        <w:rPr>
          <w:rFonts w:ascii="Arial" w:eastAsia="Times New Roman" w:hAnsi="Arial" w:cs="Arial"/>
          <w:noProof/>
          <w:color w:val="000000"/>
          <w:sz w:val="20"/>
          <w:szCs w:val="20"/>
        </w:rPr>
        <w:t>/</w:t>
      </w:r>
      <w:r w:rsidRPr="00F802C8">
        <w:rPr>
          <w:rFonts w:ascii="Cambria Math" w:eastAsia="Times New Roman" w:hAnsi="Cambria Math" w:cs="Cambria Math"/>
          <w:noProof/>
          <w:color w:val="000000"/>
          <w:sz w:val="20"/>
          <w:szCs w:val="20"/>
        </w:rPr>
        <w:t>‐</w:t>
      </w:r>
      <w:r w:rsidRPr="00F802C8">
        <w:rPr>
          <w:rFonts w:ascii="Arial" w:eastAsia="Times New Roman" w:hAnsi="Arial" w:cs="Arial"/>
          <w:noProof/>
          <w:color w:val="000000"/>
          <w:sz w:val="20"/>
          <w:szCs w:val="20"/>
        </w:rPr>
        <w:t>) transcription factor is deficient, leading to the generation of mice with rod</w:t>
      </w:r>
      <w:r w:rsidRPr="00F802C8">
        <w:rPr>
          <w:rFonts w:ascii="Cambria Math" w:eastAsia="Times New Roman" w:hAnsi="Cambria Math" w:cs="Cambria Math"/>
          <w:noProof/>
          <w:color w:val="000000"/>
          <w:sz w:val="20"/>
          <w:szCs w:val="20"/>
        </w:rPr>
        <w:t>‐</w:t>
      </w:r>
      <w:r w:rsidRPr="00F802C8">
        <w:rPr>
          <w:rFonts w:ascii="Arial" w:eastAsia="Times New Roman" w:hAnsi="Arial" w:cs="Arial"/>
          <w:noProof/>
          <w:color w:val="000000"/>
          <w:sz w:val="20"/>
          <w:szCs w:val="20"/>
        </w:rPr>
        <w:t>depleted retinas, instead containing only cone and cone</w:t>
      </w:r>
      <w:r w:rsidRPr="00F802C8">
        <w:rPr>
          <w:rFonts w:ascii="Cambria Math" w:eastAsia="Times New Roman" w:hAnsi="Cambria Math" w:cs="Cambria Math"/>
          <w:noProof/>
          <w:color w:val="000000"/>
          <w:sz w:val="20"/>
          <w:szCs w:val="20"/>
        </w:rPr>
        <w:t>‐</w:t>
      </w:r>
      <w:r w:rsidRPr="00F802C8">
        <w:rPr>
          <w:rFonts w:ascii="Arial" w:eastAsia="Times New Roman" w:hAnsi="Arial" w:cs="Arial"/>
          <w:noProof/>
          <w:color w:val="000000"/>
          <w:sz w:val="20"/>
          <w:szCs w:val="20"/>
        </w:rPr>
        <w:t>like photoreceptors [4]. They now report on their studies of cone photoreceptor replacement in Stem Cells [5].</w:t>
      </w:r>
    </w:p>
    <w:p w:rsidR="00F802C8" w:rsidRPr="00F802C8" w:rsidRDefault="00F802C8" w:rsidP="00F802C8">
      <w:pPr>
        <w:shd w:val="clear" w:color="auto" w:fill="FFFFFF"/>
        <w:spacing w:after="360" w:line="313" w:lineRule="atLeast"/>
        <w:rPr>
          <w:rFonts w:ascii="Arial" w:eastAsia="Times New Roman" w:hAnsi="Arial" w:cs="Arial"/>
          <w:noProof/>
          <w:color w:val="000000"/>
          <w:sz w:val="21"/>
          <w:szCs w:val="21"/>
        </w:rPr>
      </w:pPr>
      <w:r>
        <w:rPr>
          <w:rFonts w:ascii="Arial" w:eastAsia="Times New Roman" w:hAnsi="Arial" w:cs="Arial"/>
          <w:noProof/>
          <w:color w:val="000000"/>
          <w:sz w:val="21"/>
          <w:szCs w:val="21"/>
        </w:rPr>
        <w:drawing>
          <wp:inline distT="0" distB="0" distL="0" distR="0">
            <wp:extent cx="981075" cy="3815925"/>
            <wp:effectExtent l="19050" t="0" r="9525" b="0"/>
            <wp:docPr id="1" name="Picture 1" descr="http://www.stemcellsportal.com/sites/default/files/field/image/The%20First%20Step%20Towards%20Treating%20Cone%20Photoreceptor%20Regeneration%20%28SC%20Jan201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emcellsportal.com/sites/default/files/field/image/The%20First%20Step%20Towards%20Treating%20Cone%20Photoreceptor%20Regeneration%20%28SC%20Jan2015%29.jpg"/>
                    <pic:cNvPicPr>
                      <a:picLocks noChangeAspect="1" noChangeArrowheads="1"/>
                    </pic:cNvPicPr>
                  </pic:nvPicPr>
                  <pic:blipFill>
                    <a:blip r:embed="rId8"/>
                    <a:srcRect/>
                    <a:stretch>
                      <a:fillRect/>
                    </a:stretch>
                  </pic:blipFill>
                  <pic:spPr bwMode="auto">
                    <a:xfrm>
                      <a:off x="0" y="0"/>
                      <a:ext cx="981075" cy="3815925"/>
                    </a:xfrm>
                    <a:prstGeom prst="rect">
                      <a:avLst/>
                    </a:prstGeom>
                    <a:noFill/>
                    <a:ln w="9525">
                      <a:noFill/>
                      <a:miter lim="800000"/>
                      <a:headEnd/>
                      <a:tailEnd/>
                    </a:ln>
                  </pic:spPr>
                </pic:pic>
              </a:graphicData>
            </a:graphic>
          </wp:inline>
        </w:drawing>
      </w:r>
      <w:r w:rsidRPr="00F802C8">
        <w:rPr>
          <w:rFonts w:ascii="Arial" w:eastAsia="Times New Roman" w:hAnsi="Arial" w:cs="Arial"/>
          <w:noProof/>
          <w:color w:val="000000"/>
          <w:sz w:val="21"/>
          <w:szCs w:val="21"/>
        </w:rPr>
        <w:t>Adult Nrl</w:t>
      </w:r>
      <w:r w:rsidRPr="00F802C8">
        <w:rPr>
          <w:rFonts w:ascii="Cambria Math" w:eastAsia="Times New Roman" w:hAnsi="Cambria Math" w:cs="Cambria Math"/>
          <w:noProof/>
          <w:color w:val="000000"/>
          <w:sz w:val="21"/>
          <w:szCs w:val="21"/>
        </w:rPr>
        <w:t>‐</w:t>
      </w:r>
      <w:r w:rsidRPr="00F802C8">
        <w:rPr>
          <w:rFonts w:ascii="Arial" w:eastAsia="Times New Roman" w:hAnsi="Arial" w:cs="Arial"/>
          <w:noProof/>
          <w:color w:val="000000"/>
          <w:sz w:val="21"/>
          <w:szCs w:val="21"/>
        </w:rPr>
        <w:t>/</w:t>
      </w:r>
      <w:r w:rsidRPr="00F802C8">
        <w:rPr>
          <w:rFonts w:ascii="Cambria Math" w:eastAsia="Times New Roman" w:hAnsi="Cambria Math" w:cs="Cambria Math"/>
          <w:noProof/>
          <w:color w:val="000000"/>
          <w:sz w:val="21"/>
          <w:szCs w:val="21"/>
        </w:rPr>
        <w:t>‐</w:t>
      </w:r>
      <w:r w:rsidRPr="00F802C8">
        <w:rPr>
          <w:rFonts w:ascii="Arial" w:eastAsia="Times New Roman" w:hAnsi="Arial" w:cs="Arial"/>
          <w:noProof/>
          <w:color w:val="000000"/>
          <w:sz w:val="21"/>
          <w:szCs w:val="21"/>
        </w:rPr>
        <w:t xml:space="preserve"> mice expressed only cone-specific genes (PNA, s</w:t>
      </w:r>
      <w:r w:rsidRPr="00F802C8">
        <w:rPr>
          <w:rFonts w:ascii="Cambria Math" w:eastAsia="Times New Roman" w:hAnsi="Cambria Math" w:cs="Cambria Math"/>
          <w:noProof/>
          <w:color w:val="000000"/>
          <w:sz w:val="21"/>
          <w:szCs w:val="21"/>
        </w:rPr>
        <w:t>‐</w:t>
      </w:r>
      <w:r w:rsidRPr="00F802C8">
        <w:rPr>
          <w:rFonts w:ascii="Arial" w:eastAsia="Times New Roman" w:hAnsi="Arial" w:cs="Arial"/>
          <w:noProof/>
          <w:color w:val="000000"/>
          <w:sz w:val="21"/>
          <w:szCs w:val="21"/>
        </w:rPr>
        <w:t>opsin and cone arrestin) in photoreceptors, and did not express rod</w:t>
      </w:r>
      <w:r w:rsidRPr="00F802C8">
        <w:rPr>
          <w:rFonts w:ascii="Cambria Math" w:eastAsia="Times New Roman" w:hAnsi="Cambria Math" w:cs="Cambria Math"/>
          <w:noProof/>
          <w:color w:val="000000"/>
          <w:sz w:val="21"/>
          <w:szCs w:val="21"/>
        </w:rPr>
        <w:t>‐</w:t>
      </w:r>
      <w:r w:rsidRPr="00F802C8">
        <w:rPr>
          <w:rFonts w:ascii="Arial" w:eastAsia="Times New Roman" w:hAnsi="Arial" w:cs="Arial"/>
          <w:noProof/>
          <w:color w:val="000000"/>
          <w:sz w:val="21"/>
          <w:szCs w:val="21"/>
        </w:rPr>
        <w:t>specific genes (Nrl or rhodopsin), confirming the sole presence of cone/cone-like photoreceptors. The group then purified these cone photoreceptors from the mouse retina based on the CD73 cell surface antigen at several different stages of postnatal development in order to identify the optimal cell population. CD73-purification generated a relatively pure fraction of cells which expressed photoreceptor</w:t>
      </w:r>
      <w:r w:rsidRPr="00F802C8">
        <w:rPr>
          <w:rFonts w:ascii="Cambria Math" w:eastAsia="Times New Roman" w:hAnsi="Cambria Math" w:cs="Cambria Math"/>
          <w:noProof/>
          <w:color w:val="000000"/>
          <w:sz w:val="21"/>
          <w:szCs w:val="21"/>
        </w:rPr>
        <w:t>‐</w:t>
      </w:r>
      <w:r w:rsidRPr="00F802C8">
        <w:rPr>
          <w:rFonts w:ascii="Arial" w:eastAsia="Times New Roman" w:hAnsi="Arial" w:cs="Arial"/>
          <w:noProof/>
          <w:color w:val="000000"/>
          <w:sz w:val="21"/>
          <w:szCs w:val="21"/>
        </w:rPr>
        <w:t>specific genes (Crx and S</w:t>
      </w:r>
      <w:r w:rsidRPr="00F802C8">
        <w:rPr>
          <w:rFonts w:ascii="Cambria Math" w:eastAsia="Times New Roman" w:hAnsi="Cambria Math" w:cs="Cambria Math"/>
          <w:noProof/>
          <w:color w:val="000000"/>
          <w:sz w:val="21"/>
          <w:szCs w:val="21"/>
        </w:rPr>
        <w:t>‐</w:t>
      </w:r>
      <w:r w:rsidRPr="00F802C8">
        <w:rPr>
          <w:rFonts w:ascii="Arial" w:eastAsia="Times New Roman" w:hAnsi="Arial" w:cs="Arial"/>
          <w:noProof/>
          <w:color w:val="000000"/>
          <w:sz w:val="21"/>
          <w:szCs w:val="21"/>
        </w:rPr>
        <w:t xml:space="preserve">opsin), and </w:t>
      </w:r>
      <w:r w:rsidRPr="00F802C8">
        <w:rPr>
          <w:rFonts w:ascii="Arial" w:eastAsia="Times New Roman" w:hAnsi="Arial" w:cs="Arial"/>
          <w:noProof/>
          <w:color w:val="000000"/>
          <w:sz w:val="21"/>
          <w:szCs w:val="21"/>
        </w:rPr>
        <w:lastRenderedPageBreak/>
        <w:t>transplantation of postnatal day 4 cells into wild type mouse retina mediated optimal integration into the outer nuclear layer (ONL) generating morphologically mature photoreceptors. The attached figure shows integrated cone–like photoreceptors two weeks following transplantation into the adult retina of wild</w:t>
      </w:r>
      <w:r w:rsidRPr="00F802C8">
        <w:rPr>
          <w:rFonts w:ascii="Cambria Math" w:eastAsia="Times New Roman" w:hAnsi="Cambria Math" w:cs="Cambria Math"/>
          <w:noProof/>
          <w:color w:val="000000"/>
          <w:sz w:val="21"/>
          <w:szCs w:val="21"/>
        </w:rPr>
        <w:t>‐</w:t>
      </w:r>
      <w:r w:rsidRPr="00F802C8">
        <w:rPr>
          <w:rFonts w:ascii="Arial" w:eastAsia="Times New Roman" w:hAnsi="Arial" w:cs="Arial"/>
          <w:noProof/>
          <w:color w:val="000000"/>
          <w:sz w:val="21"/>
          <w:szCs w:val="21"/>
        </w:rPr>
        <w:t>type mice.</w:t>
      </w:r>
    </w:p>
    <w:p w:rsidR="00F802C8" w:rsidRPr="00F802C8" w:rsidRDefault="00F802C8" w:rsidP="00F802C8">
      <w:pPr>
        <w:shd w:val="clear" w:color="auto" w:fill="FFFFFF"/>
        <w:spacing w:after="360" w:line="313" w:lineRule="atLeast"/>
        <w:jc w:val="both"/>
        <w:rPr>
          <w:rFonts w:ascii="Arial" w:eastAsia="Times New Roman" w:hAnsi="Arial" w:cs="Arial"/>
          <w:noProof/>
          <w:color w:val="000000"/>
          <w:sz w:val="21"/>
          <w:szCs w:val="21"/>
        </w:rPr>
      </w:pPr>
      <w:r w:rsidRPr="00F802C8">
        <w:rPr>
          <w:rFonts w:ascii="Arial" w:eastAsia="Times New Roman" w:hAnsi="Arial" w:cs="Arial"/>
          <w:noProof/>
          <w:color w:val="000000"/>
          <w:sz w:val="21"/>
          <w:szCs w:val="21"/>
        </w:rPr>
        <w:t>The authors also demonstrated that these cells integrated into retinas characterized by cone photoreceptor degeneration (Cpfl1 mutant mouse), displaying similar characteristics to cells formed after transplantation into the wild type mice. Interestingly, a much higher number of donor cells integrated into the Nrl-/- mouse retina, which resembles the pure cone photoreceptor environment in the human fovea. Assessment of donor cone</w:t>
      </w:r>
      <w:r w:rsidRPr="00F802C8">
        <w:rPr>
          <w:rFonts w:ascii="Cambria Math" w:eastAsia="Times New Roman" w:hAnsi="Cambria Math" w:cs="Cambria Math"/>
          <w:noProof/>
          <w:color w:val="000000"/>
          <w:sz w:val="21"/>
          <w:szCs w:val="21"/>
        </w:rPr>
        <w:t>‐</w:t>
      </w:r>
      <w:r w:rsidRPr="00F802C8">
        <w:rPr>
          <w:rFonts w:ascii="Arial" w:eastAsia="Times New Roman" w:hAnsi="Arial" w:cs="Arial"/>
          <w:noProof/>
          <w:color w:val="000000"/>
          <w:sz w:val="21"/>
          <w:szCs w:val="21"/>
        </w:rPr>
        <w:t>like photoreceptor survival in wild type and Cpfl1 mice demonstrated that while cells survived to 6 months, the last time point assessed, the overall number of these cells reduced significantly with time.</w:t>
      </w:r>
    </w:p>
    <w:p w:rsidR="00F802C8" w:rsidRPr="00F802C8" w:rsidRDefault="00F802C8" w:rsidP="00F802C8">
      <w:pPr>
        <w:shd w:val="clear" w:color="auto" w:fill="FFFFFF"/>
        <w:spacing w:after="360" w:line="313" w:lineRule="atLeast"/>
        <w:jc w:val="both"/>
        <w:rPr>
          <w:rFonts w:ascii="Arial" w:eastAsia="Times New Roman" w:hAnsi="Arial" w:cs="Arial"/>
          <w:noProof/>
          <w:color w:val="000000"/>
          <w:sz w:val="21"/>
          <w:szCs w:val="21"/>
        </w:rPr>
      </w:pPr>
      <w:r w:rsidRPr="00F802C8">
        <w:rPr>
          <w:rFonts w:ascii="Arial" w:eastAsia="Times New Roman" w:hAnsi="Arial" w:cs="Arial"/>
          <w:noProof/>
          <w:color w:val="000000"/>
          <w:sz w:val="21"/>
          <w:szCs w:val="21"/>
        </w:rPr>
        <w:t>Functionality was finally assessed through the recording of light</w:t>
      </w:r>
      <w:r w:rsidRPr="00F802C8">
        <w:rPr>
          <w:rFonts w:ascii="Cambria Math" w:eastAsia="Times New Roman" w:hAnsi="Cambria Math" w:cs="Cambria Math"/>
          <w:noProof/>
          <w:color w:val="000000"/>
          <w:sz w:val="21"/>
          <w:szCs w:val="21"/>
        </w:rPr>
        <w:t>‐</w:t>
      </w:r>
      <w:r w:rsidRPr="00F802C8">
        <w:rPr>
          <w:rFonts w:ascii="Arial" w:eastAsia="Times New Roman" w:hAnsi="Arial" w:cs="Arial"/>
          <w:noProof/>
          <w:color w:val="000000"/>
          <w:sz w:val="21"/>
          <w:szCs w:val="21"/>
        </w:rPr>
        <w:t>mediated spiking activity of individual retinal ganglion cells (RGCs) by micro</w:t>
      </w:r>
      <w:r w:rsidRPr="00F802C8">
        <w:rPr>
          <w:rFonts w:ascii="Cambria Math" w:eastAsia="Times New Roman" w:hAnsi="Cambria Math" w:cs="Cambria Math"/>
          <w:noProof/>
          <w:color w:val="000000"/>
          <w:sz w:val="21"/>
          <w:szCs w:val="21"/>
        </w:rPr>
        <w:t>‐</w:t>
      </w:r>
      <w:r w:rsidRPr="00F802C8">
        <w:rPr>
          <w:rFonts w:ascii="Arial" w:eastAsia="Times New Roman" w:hAnsi="Arial" w:cs="Arial"/>
          <w:noProof/>
          <w:color w:val="000000"/>
          <w:sz w:val="21"/>
          <w:szCs w:val="21"/>
        </w:rPr>
        <w:t>electrode arrays. While both wild type and Cpfl1 mice responded to low and medium light stimuli, Cpfl1 mice did not respond to high light intensities, thus displaying impaired cone photoreceptor function. However, after transplantation with cone</w:t>
      </w:r>
      <w:r w:rsidRPr="00F802C8">
        <w:rPr>
          <w:rFonts w:ascii="Cambria Math" w:eastAsia="Times New Roman" w:hAnsi="Cambria Math" w:cs="Cambria Math"/>
          <w:noProof/>
          <w:color w:val="000000"/>
          <w:sz w:val="21"/>
          <w:szCs w:val="21"/>
        </w:rPr>
        <w:t>‐</w:t>
      </w:r>
      <w:r w:rsidRPr="00F802C8">
        <w:rPr>
          <w:rFonts w:ascii="Arial" w:eastAsia="Times New Roman" w:hAnsi="Arial" w:cs="Arial"/>
          <w:noProof/>
          <w:color w:val="000000"/>
          <w:sz w:val="21"/>
          <w:szCs w:val="21"/>
        </w:rPr>
        <w:t>like photoreceptors, Cpfl1 mice did respond to high light intensity – an encouraging finding.</w:t>
      </w:r>
    </w:p>
    <w:p w:rsidR="00F802C8" w:rsidRPr="00F802C8" w:rsidRDefault="00F802C8" w:rsidP="00F802C8">
      <w:pPr>
        <w:shd w:val="clear" w:color="auto" w:fill="FFFFFF"/>
        <w:spacing w:after="360" w:line="313" w:lineRule="atLeast"/>
        <w:jc w:val="both"/>
        <w:rPr>
          <w:rFonts w:ascii="Arial" w:eastAsia="Times New Roman" w:hAnsi="Arial" w:cs="Arial"/>
          <w:noProof/>
          <w:color w:val="000000"/>
          <w:sz w:val="21"/>
          <w:szCs w:val="21"/>
        </w:rPr>
      </w:pPr>
      <w:r w:rsidRPr="00F802C8">
        <w:rPr>
          <w:rFonts w:ascii="Arial" w:eastAsia="Times New Roman" w:hAnsi="Arial" w:cs="Arial"/>
          <w:noProof/>
          <w:color w:val="000000"/>
          <w:sz w:val="21"/>
          <w:szCs w:val="21"/>
        </w:rPr>
        <w:t>This represents the first step towards a restoring daylight vision to those affected by debilitating disease such as age</w:t>
      </w:r>
      <w:r w:rsidRPr="00F802C8">
        <w:rPr>
          <w:rFonts w:ascii="Cambria Math" w:eastAsia="Times New Roman" w:hAnsi="Cambria Math" w:cs="Cambria Math"/>
          <w:noProof/>
          <w:color w:val="000000"/>
          <w:sz w:val="21"/>
          <w:szCs w:val="21"/>
        </w:rPr>
        <w:t>‐</w:t>
      </w:r>
      <w:r w:rsidRPr="00F802C8">
        <w:rPr>
          <w:rFonts w:ascii="Arial" w:eastAsia="Times New Roman" w:hAnsi="Arial" w:cs="Arial"/>
          <w:noProof/>
          <w:color w:val="000000"/>
          <w:sz w:val="21"/>
          <w:szCs w:val="21"/>
        </w:rPr>
        <w:t>related macular degeneration (AMD), cone</w:t>
      </w:r>
      <w:r w:rsidRPr="00F802C8">
        <w:rPr>
          <w:rFonts w:ascii="Cambria Math" w:eastAsia="Times New Roman" w:hAnsi="Cambria Math" w:cs="Cambria Math"/>
          <w:noProof/>
          <w:color w:val="000000"/>
          <w:sz w:val="21"/>
          <w:szCs w:val="21"/>
        </w:rPr>
        <w:t>‐</w:t>
      </w:r>
      <w:r w:rsidRPr="00F802C8">
        <w:rPr>
          <w:rFonts w:ascii="Arial" w:eastAsia="Times New Roman" w:hAnsi="Arial" w:cs="Arial"/>
          <w:noProof/>
          <w:color w:val="000000"/>
          <w:sz w:val="21"/>
          <w:szCs w:val="21"/>
        </w:rPr>
        <w:t>rod dystrophies, or late-stage retinitis pigmentosa (RP). The authors hope to further assess the cellular connectivity and cell-to-cell communication abilities of the donor cells, and to develop efficient differentiation techniques to derive cone cells from stem cells; in doing so taking us one step closer towards the clinical application of such an approach.</w:t>
      </w:r>
    </w:p>
    <w:p w:rsidR="00F802C8" w:rsidRPr="00F802C8" w:rsidRDefault="00F802C8" w:rsidP="00F802C8">
      <w:pPr>
        <w:shd w:val="clear" w:color="auto" w:fill="FFFFFF"/>
        <w:spacing w:after="360" w:line="313" w:lineRule="atLeast"/>
        <w:jc w:val="both"/>
        <w:rPr>
          <w:rFonts w:ascii="Arial" w:eastAsia="Times New Roman" w:hAnsi="Arial" w:cs="Arial"/>
          <w:noProof/>
          <w:color w:val="000000"/>
          <w:sz w:val="21"/>
          <w:szCs w:val="21"/>
        </w:rPr>
      </w:pPr>
      <w:r w:rsidRPr="00F802C8">
        <w:rPr>
          <w:rFonts w:ascii="Arial" w:eastAsia="Times New Roman" w:hAnsi="Arial" w:cs="Arial"/>
          <w:b/>
          <w:bCs/>
          <w:noProof/>
          <w:color w:val="000000"/>
          <w:sz w:val="21"/>
          <w:u w:val="single"/>
        </w:rPr>
        <w:t>References</w:t>
      </w:r>
    </w:p>
    <w:p w:rsidR="00F802C8" w:rsidRPr="00F802C8" w:rsidRDefault="00F802C8" w:rsidP="00F802C8">
      <w:pPr>
        <w:numPr>
          <w:ilvl w:val="0"/>
          <w:numId w:val="1"/>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F802C8">
        <w:rPr>
          <w:rFonts w:ascii="Arial" w:eastAsia="Times New Roman" w:hAnsi="Arial" w:cs="Arial"/>
          <w:noProof/>
          <w:color w:val="000000"/>
          <w:sz w:val="20"/>
          <w:szCs w:val="20"/>
        </w:rPr>
        <w:t>Berger W, Kloeckener-Gruissem B, and Neidhardt J The molecular basis of human retinal and vitreoretinal diseases. Prog Retin Eye Res 2010;29:335-375.</w:t>
      </w:r>
    </w:p>
    <w:p w:rsidR="00F802C8" w:rsidRPr="00F802C8" w:rsidRDefault="00F802C8" w:rsidP="00F802C8">
      <w:pPr>
        <w:numPr>
          <w:ilvl w:val="0"/>
          <w:numId w:val="1"/>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F802C8">
        <w:rPr>
          <w:rFonts w:ascii="Arial" w:eastAsia="Times New Roman" w:hAnsi="Arial" w:cs="Arial"/>
          <w:noProof/>
          <w:color w:val="000000"/>
          <w:sz w:val="20"/>
          <w:szCs w:val="20"/>
        </w:rPr>
        <w:t>Swaroop A, Chew EY, Rickman CB, et al. Unraveling a multifactorial late-onset disease: from genetic susceptibility to disease mechanisms for age-related macular degeneration. Annu Rev Genomics Hum Genet 2009;10:19-43.</w:t>
      </w:r>
    </w:p>
    <w:p w:rsidR="00F802C8" w:rsidRPr="00F802C8" w:rsidRDefault="00F802C8" w:rsidP="00F802C8">
      <w:pPr>
        <w:numPr>
          <w:ilvl w:val="0"/>
          <w:numId w:val="1"/>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F802C8">
        <w:rPr>
          <w:rFonts w:ascii="Arial" w:eastAsia="Times New Roman" w:hAnsi="Arial" w:cs="Arial"/>
          <w:noProof/>
          <w:color w:val="000000"/>
          <w:sz w:val="20"/>
          <w:szCs w:val="20"/>
        </w:rPr>
        <w:t>Lakowski J, Baron M, Bainbridge J, et al. Cone and rod photoreceptor transplantation in models of the childhood retinopathy Leber congenital amaurosis using flow-sorted Crx-positive donor cells. Human molecular genetics 2010;19:4545-4559.</w:t>
      </w:r>
    </w:p>
    <w:p w:rsidR="00F802C8" w:rsidRPr="00F802C8" w:rsidRDefault="00F802C8" w:rsidP="00F802C8">
      <w:pPr>
        <w:numPr>
          <w:ilvl w:val="0"/>
          <w:numId w:val="1"/>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F802C8">
        <w:rPr>
          <w:rFonts w:ascii="Arial" w:eastAsia="Times New Roman" w:hAnsi="Arial" w:cs="Arial"/>
          <w:noProof/>
          <w:color w:val="000000"/>
          <w:sz w:val="20"/>
          <w:szCs w:val="20"/>
        </w:rPr>
        <w:t>Mears AJ, Kondo M, Swain PK, et al. Nrl is required for rod photoreceptor development. Nature genetics 2001;29:447-452.</w:t>
      </w:r>
    </w:p>
    <w:p w:rsidR="00F802C8" w:rsidRPr="00F802C8" w:rsidRDefault="00F802C8" w:rsidP="00F802C8">
      <w:pPr>
        <w:numPr>
          <w:ilvl w:val="0"/>
          <w:numId w:val="1"/>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F802C8">
        <w:rPr>
          <w:rFonts w:ascii="Arial" w:eastAsia="Times New Roman" w:hAnsi="Arial" w:cs="Arial"/>
          <w:noProof/>
          <w:color w:val="000000"/>
          <w:sz w:val="20"/>
          <w:szCs w:val="20"/>
        </w:rPr>
        <w:t>Santos-Ferreira T, Postel K, Stutzki H, et al. Daylight vision repair by cell transplantation. Stem Cells 2015;33:79-90.</w:t>
      </w:r>
    </w:p>
    <w:sectPr w:rsidR="00F802C8" w:rsidRPr="00F802C8" w:rsidSect="00A4293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505A09"/>
    <w:multiLevelType w:val="multilevel"/>
    <w:tmpl w:val="82463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cPBD3RojRdomu756b2fVEWlXfW4=" w:salt="7GDn+kiIL8v0qtTqI3p01g=="/>
  <w:defaultTabStop w:val="720"/>
  <w:characterSpacingControl w:val="doNotCompress"/>
  <w:compat>
    <w:useFELayout/>
  </w:compat>
  <w:rsids>
    <w:rsidRoot w:val="00F802C8"/>
    <w:rsid w:val="00A42937"/>
    <w:rsid w:val="00C2332C"/>
    <w:rsid w:val="00F802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937"/>
  </w:style>
  <w:style w:type="paragraph" w:styleId="Heading1">
    <w:name w:val="heading 1"/>
    <w:basedOn w:val="Normal"/>
    <w:link w:val="Heading1Char"/>
    <w:uiPriority w:val="9"/>
    <w:qFormat/>
    <w:rsid w:val="00F802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2C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802C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02C8"/>
    <w:rPr>
      <w:color w:val="0000FF"/>
      <w:u w:val="single"/>
    </w:rPr>
  </w:style>
  <w:style w:type="character" w:customStyle="1" w:styleId="apple-converted-space">
    <w:name w:val="apple-converted-space"/>
    <w:basedOn w:val="DefaultParagraphFont"/>
    <w:rsid w:val="00F802C8"/>
  </w:style>
  <w:style w:type="character" w:styleId="Emphasis">
    <w:name w:val="Emphasis"/>
    <w:basedOn w:val="DefaultParagraphFont"/>
    <w:uiPriority w:val="20"/>
    <w:qFormat/>
    <w:rsid w:val="00F802C8"/>
    <w:rPr>
      <w:i/>
      <w:iCs/>
    </w:rPr>
  </w:style>
  <w:style w:type="character" w:styleId="Strong">
    <w:name w:val="Strong"/>
    <w:basedOn w:val="DefaultParagraphFont"/>
    <w:uiPriority w:val="22"/>
    <w:qFormat/>
    <w:rsid w:val="00F802C8"/>
    <w:rPr>
      <w:b/>
      <w:bCs/>
    </w:rPr>
  </w:style>
  <w:style w:type="paragraph" w:styleId="BalloonText">
    <w:name w:val="Balloon Text"/>
    <w:basedOn w:val="Normal"/>
    <w:link w:val="BalloonTextChar"/>
    <w:uiPriority w:val="99"/>
    <w:semiHidden/>
    <w:unhideWhenUsed/>
    <w:rsid w:val="00F802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2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7262348">
      <w:bodyDiv w:val="1"/>
      <w:marLeft w:val="0"/>
      <w:marRight w:val="0"/>
      <w:marTop w:val="0"/>
      <w:marBottom w:val="0"/>
      <w:divBdr>
        <w:top w:val="none" w:sz="0" w:space="0" w:color="auto"/>
        <w:left w:val="none" w:sz="0" w:space="0" w:color="auto"/>
        <w:bottom w:val="none" w:sz="0" w:space="0" w:color="auto"/>
        <w:right w:val="none" w:sz="0" w:space="0" w:color="auto"/>
      </w:divBdr>
    </w:div>
    <w:div w:id="125274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crt-dresd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t-dresden.de/research/crtd-core-groups/ader.html" TargetMode="External"/><Relationship Id="rId5" Type="http://schemas.openxmlformats.org/officeDocument/2006/relationships/hyperlink" Target="http://www.ncbi.nlm.nih.gov/pubmed/2518339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676</Words>
  <Characters>3855</Characters>
  <Application>Microsoft Office Word</Application>
  <DocSecurity>8</DocSecurity>
  <Lines>32</Lines>
  <Paragraphs>9</Paragraphs>
  <ScaleCrop>false</ScaleCrop>
  <Company/>
  <LinksUpToDate>false</LinksUpToDate>
  <CharactersWithSpaces>4522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2015-02-05T10:20:00Z</dcterms:created>
  <dcterms:modified xsi:type="dcterms:W3CDTF">2015-02-07T09:12:00Z</dcterms:modified>
</cp:coreProperties>
</file>